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pPr w:vertAnchor="margin" w:horzAnchor="margin" w:leftFromText="180" w:rightFromText="180" w:tblpX="0" w:tblpY="510"/>
        <w:tblW w:w="9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00"/>
      </w:tblGrid>
      <w:tr>
        <w:trPr>
          <w:trHeight w:val="925" w:hRule="atLeast"/>
        </w:trPr>
        <w:tc>
          <w:tcPr>
            <w:tcW w:w="950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642" w:leader="none"/>
                <w:tab w:val="left" w:pos="7350" w:leader="none"/>
              </w:tabs>
              <w:snapToGrid w:val="false"/>
              <w:rPr/>
            </w:pPr>
            <w:r>
              <w:rPr/>
              <w:tab/>
            </w:r>
            <w:r>
              <w:rPr/>
              <w:drawing>
                <wp:inline distT="0" distB="0" distL="0" distR="0">
                  <wp:extent cx="516890" cy="58864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88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ab/>
              <w:t xml:space="preserve">                </w:t>
            </w:r>
          </w:p>
        </w:tc>
      </w:tr>
      <w:tr>
        <w:trPr>
          <w:trHeight w:val="1166" w:hRule="atLeast"/>
        </w:trPr>
        <w:tc>
          <w:tcPr>
            <w:tcW w:w="9500" w:type="dxa"/>
            <w:tcBorders>
              <w:bottom w:val="doub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2" w:leader="none"/>
                <w:tab w:val="left" w:pos="1560" w:leader="none"/>
                <w:tab w:val="left" w:pos="2652" w:leader="none"/>
              </w:tabs>
              <w:snapToGrid w:val="false"/>
              <w:jc w:val="center"/>
              <w:rPr>
                <w:b/>
              </w:rPr>
            </w:pPr>
            <w:r>
              <w:rPr>
                <w:b/>
              </w:rPr>
              <w:t>АДМИНИСТРАЦИЯ АРТИНСКОГО МУНИЦИПАЛЬНОГО ОКРУГА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380" w:type="dxa"/>
        <w:jc w:val="left"/>
        <w:tblInd w:w="1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0"/>
        <w:gridCol w:w="1081"/>
        <w:gridCol w:w="744"/>
        <w:gridCol w:w="484"/>
        <w:gridCol w:w="1590"/>
      </w:tblGrid>
      <w:tr>
        <w:trPr/>
        <w:tc>
          <w:tcPr>
            <w:tcW w:w="480" w:type="dxa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  <w:t>от</w:t>
            </w:r>
          </w:p>
        </w:tc>
        <w:tc>
          <w:tcPr>
            <w:tcW w:w="182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 xml:space="preserve">30.12 .2025 </w:t>
            </w:r>
          </w:p>
        </w:tc>
        <w:tc>
          <w:tcPr>
            <w:tcW w:w="484" w:type="dxa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  <w:t xml:space="preserve">№ 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785</w:t>
            </w:r>
          </w:p>
        </w:tc>
      </w:tr>
      <w:tr>
        <w:trPr>
          <w:trHeight w:val="363" w:hRule="atLeast"/>
        </w:trPr>
        <w:tc>
          <w:tcPr>
            <w:tcW w:w="1561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/>
              <w:t>пгт. Арти</w:t>
            </w:r>
          </w:p>
        </w:tc>
        <w:tc>
          <w:tcPr>
            <w:tcW w:w="2818" w:type="dxa"/>
            <w:gridSpan w:val="3"/>
            <w:tcBorders/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200" w:leader="none"/>
        </w:tabs>
        <w:rPr>
          <w:color w:val="FF0000"/>
        </w:rPr>
      </w:pPr>
      <w:r>
        <w:rPr/>
        <w:t xml:space="preserve">                      </w:t>
      </w:r>
      <w:r>
        <w:rPr>
          <w:color w:val="FF0000"/>
        </w:rPr>
        <w:t xml:space="preserve">                                 </w:t>
      </w:r>
    </w:p>
    <w:p>
      <w:pPr>
        <w:pStyle w:val="Normal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О внесении изменений в постановление Администрации </w:t>
      </w:r>
    </w:p>
    <w:p>
      <w:pPr>
        <w:pStyle w:val="Normal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Артинского городского округа от 18.02.2019г. № 175 </w:t>
      </w:r>
    </w:p>
    <w:p>
      <w:pPr>
        <w:pStyle w:val="Normal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>«Об утверждении муниципальной программы</w:t>
      </w:r>
    </w:p>
    <w:p>
      <w:pPr>
        <w:pStyle w:val="Normal"/>
        <w:jc w:val="center"/>
        <w:rPr>
          <w:b/>
          <w:i/>
          <w:i/>
        </w:rPr>
      </w:pPr>
      <w:r>
        <w:rPr>
          <w:b/>
          <w:bCs/>
          <w:i/>
          <w:iCs/>
        </w:rPr>
        <w:t xml:space="preserve"> </w:t>
      </w:r>
      <w:r>
        <w:rPr>
          <w:b/>
          <w:i/>
        </w:rPr>
        <w:t xml:space="preserve">«Развитие культуры в Артинском муниципальном округе до 2027года» 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(в редакции постановлений от 23.04.2019 № 686, от 26.07.2019 № 888,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 xml:space="preserve"> </w:t>
      </w:r>
      <w:r>
        <w:rPr>
          <w:b/>
          <w:i/>
        </w:rPr>
        <w:t xml:space="preserve">от 11.11.2019 № 1166, от 10.02.2020 № 92, от 29.07.2020 № 439, 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 xml:space="preserve">от 01.02.2021 № 43, от 02.06.2021 № 298, от 24.02.2022 № 108, 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 xml:space="preserve">от 01.07.2022 № 382, от 21.11.2022 № 662, от 28.02.2023 № 97, 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 xml:space="preserve">от 26.05.2023 № 293, от 27.07.2023г. № 417, от 27.10.2023 № 608, 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от 22.11.2023 № 678, от 25.12.2023 № 775, от 27.02.2024г. № 131, от 01.07.2024г. № 379, от 31.10.2024г. № 641, от 27.02.2025г. № 86, от 28.03.2025г. № 164, от 30.06.2025г. № 325)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hanging="360"/>
        <w:jc w:val="both"/>
        <w:rPr/>
      </w:pPr>
      <w:r>
        <w:rPr/>
        <w:t xml:space="preserve">      </w:t>
      </w:r>
      <w:r>
        <w:rPr/>
        <w:tab/>
        <w:t xml:space="preserve">В соответствии с постановлением Правительства Свердловской области от 21.10.2013г. № 1268-ПП «Об утверждении государственной программы Свердловской области «Развитие культуры в Свердловской области до 2027 года», постановлением Администрации Артинского городского округа от 24.10.2016г. № 976 «Об утверждении порядка формирования и реализации муниципальных программ Артинского городского округа», постановлением Администрации Артинского городского округа от 27.10.2022г. № 621 «Об утверждении Перечня муниципальных программ Артинского городского округа», решением Думы Артинского городского округа от 17.12.2024 № 100 «О бюджете Артинского муниципального округа на 2025 год и плановых периодах 2026 и 2027 годов» (в редакции от 08.12.2025г. № 62), в целях обеспечения целевого использования средств бюджета Артинского муниципального округа в рамках реализации </w:t>
      </w:r>
      <w:r>
        <w:rPr>
          <w:bCs/>
          <w:iCs/>
        </w:rPr>
        <w:t xml:space="preserve">муниципальной программы </w:t>
      </w:r>
      <w:r>
        <w:rPr/>
        <w:t>«Развитие культуры в Артинском муниципальном округе до 2027 года», руководствуясь Уставом Артинского муниципального округа</w:t>
      </w:r>
    </w:p>
    <w:p>
      <w:pPr>
        <w:pStyle w:val="Normal"/>
        <w:ind w:hanging="360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ПОСТАНОВЛЯЕТ:</w:t>
      </w:r>
    </w:p>
    <w:p>
      <w:pPr>
        <w:pStyle w:val="Normal"/>
        <w:ind w:firstLine="708"/>
        <w:jc w:val="both"/>
        <w:rPr/>
      </w:pPr>
      <w:r>
        <w:rPr/>
        <w:t xml:space="preserve">1. Внести изменения в </w:t>
      </w:r>
      <w:r>
        <w:rPr>
          <w:bCs/>
          <w:iCs/>
        </w:rPr>
        <w:t>постановление Администрации Артинского муниципального округа от 18.02.2019г. № 175 «Об утверждении муниципальной программы «Развитие культуры в Артинском муниципальном округе до 2027 года»</w:t>
      </w:r>
      <w:r>
        <w:rPr/>
        <w:t>:</w:t>
      </w:r>
    </w:p>
    <w:p>
      <w:pPr>
        <w:pStyle w:val="ConsPlusCell"/>
        <w:jc w:val="both"/>
        <w:rPr/>
      </w:pPr>
      <w:r>
        <w:rPr/>
        <w:t xml:space="preserve">          </w:t>
      </w:r>
      <w:r>
        <w:rPr/>
        <w:t>1.1.Строку 6 Паспорта муниципальной программы «Объемы финансирования муниципальной программы по годам реализации» изложить в следующей редакции: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Всего – 1 591 355,6 тыс. рублей, в том числе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2019 год – 125 848,4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2020 год – 130 094,2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2021 год – 135 590,0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2022 год – 152 204,4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2023 год – 170 750,3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 xml:space="preserve">2024 год – 222 356,5 тыс.рублей, 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2025 год – 242 097,8 тыс. 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2026 год – 205 757,0 тыс. 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2027 год – 206 657,0 тыс. рублей, из них: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федеральный бюджет: 2 387,2 тыс.руб, в том числе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2019 год – 0,0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2020 год – 0,0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2021 год – 0,0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2022 год – 612,3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2023 год – 593,1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2024 год – 592,0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2025 год – 589,8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2026 год – 0,0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2027 год – 0,0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областной бюджет: 42 815,0 тыс.руб, в том числе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2019 год – 2409,3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2020 год – 1781,5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2021 год – 408,5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2022 год – 762,3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2023 год – 6290,8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2024 год – 23 481,8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2025 год – 7 680,8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2026 год – 0,0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2027 год – 0,0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 xml:space="preserve">местный бюджет:  1 508 888,8 тыс.рублей, в том числе 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2019 год – 116 167,2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2020 год – 126 337,2 тыс.рублей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2021 год – 132 325,0 тыс.рублей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2022 год – 147 410,4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2023 год – 159 071,2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2024 год – 193 625,5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2025 год – 229 278,2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2026 год – 201 337,0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2027 год – 203 337,0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 xml:space="preserve">внебюджетные источники: 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всего -     37 264,6  тыс.рублей, в том числе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2019 год –  7 271,9 тыс.рублей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2020 год –  1 975,5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2021 год –  2 856,5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2022 год –  3 419,3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2023 год -  4 795,2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2024 год -  4 657,2 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2025 год – 4 549,0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2026 год – 4 420,0 тыс.рублей,</w:t>
      </w:r>
    </w:p>
    <w:p>
      <w:pPr>
        <w:pStyle w:val="Normal"/>
        <w:suppressAutoHyphens w:val="false"/>
        <w:ind w:left="709"/>
        <w:rPr>
          <w:lang w:eastAsia="ru-RU"/>
        </w:rPr>
      </w:pPr>
      <w:r>
        <w:rPr>
          <w:lang w:eastAsia="ru-RU"/>
        </w:rPr>
        <w:t>2027 год – 3 320,0 тыс.рублей,</w:t>
      </w:r>
    </w:p>
    <w:p>
      <w:pPr>
        <w:pStyle w:val="Normal"/>
        <w:ind w:firstLine="708"/>
        <w:jc w:val="both"/>
        <w:rPr/>
      </w:pPr>
      <w:r>
        <w:rPr/>
        <w:t xml:space="preserve">1.2. Объемы расходов бюджета на выполнение мероприятий подпрограммы </w:t>
      </w:r>
      <w:r>
        <w:rPr>
          <w:lang w:val="en-US"/>
        </w:rPr>
        <w:t>I</w:t>
      </w:r>
      <w:r>
        <w:rPr/>
        <w:t xml:space="preserve"> «Развитие культуры и искусства» по мероприятиям № 2,13,14,39; подпрограммы </w:t>
      </w:r>
      <w:r>
        <w:rPr>
          <w:lang w:val="en-US"/>
        </w:rPr>
        <w:t>II</w:t>
      </w:r>
      <w:r>
        <w:rPr/>
        <w:t xml:space="preserve"> «Развитие образования в сфере культуры и искусства» по мероприятию № 12 приложения № 2 «План мероприятий по выполнению Муниципальной программы «Развитие культуры в Артинском муниципальном округе до 2027 года» изложить в новой редакции (приложение).</w:t>
      </w:r>
    </w:p>
    <w:p>
      <w:pPr>
        <w:pStyle w:val="ConsPlusCell"/>
        <w:jc w:val="both"/>
        <w:rPr/>
      </w:pPr>
      <w:r>
        <w:rPr/>
        <w:tab/>
        <w:t xml:space="preserve">2. Настоящее постановление опубликовать в «Муниципальном вестнике» газеты «Артинские вести», на официальном сайте Администрации Артинского муниципального округа. </w:t>
      </w:r>
    </w:p>
    <w:p>
      <w:pPr>
        <w:pStyle w:val="Normal"/>
        <w:ind w:firstLine="708"/>
        <w:jc w:val="both"/>
        <w:rPr/>
      </w:pPr>
      <w:r>
        <w:rPr/>
        <w:t>3. Контроль за исполнением настоящего постановления возложить на</w:t>
      </w:r>
    </w:p>
    <w:p>
      <w:pPr>
        <w:pStyle w:val="BodyTextIndent"/>
        <w:ind w:hanging="0"/>
        <w:rPr>
          <w:sz w:val="28"/>
        </w:rPr>
      </w:pPr>
      <w:r>
        <w:rPr>
          <w:sz w:val="28"/>
        </w:rPr>
        <w:t>заместителя Главы Администрации Артинского муниципального округа Токарева С. А.</w:t>
      </w:r>
    </w:p>
    <w:p>
      <w:pPr>
        <w:pStyle w:val="BodyTextIndent"/>
        <w:ind w:hanging="0"/>
        <w:rPr>
          <w:sz w:val="28"/>
        </w:rPr>
      </w:pPr>
      <w:r>
        <w:rPr>
          <w:sz w:val="28"/>
        </w:rPr>
      </w:r>
    </w:p>
    <w:p>
      <w:pPr>
        <w:pStyle w:val="BodyTextIndent"/>
        <w:ind w:hanging="0"/>
        <w:rPr>
          <w:sz w:val="28"/>
        </w:rPr>
      </w:pPr>
      <w:r>
        <w:rPr>
          <w:sz w:val="28"/>
        </w:rPr>
      </w:r>
    </w:p>
    <w:p>
      <w:pPr>
        <w:pStyle w:val="BodyTextIndent"/>
        <w:ind w:hanging="0"/>
        <w:rPr>
          <w:sz w:val="28"/>
        </w:rPr>
      </w:pPr>
      <w:r>
        <w:rPr>
          <w:sz w:val="28"/>
        </w:rPr>
      </w:r>
    </w:p>
    <w:p>
      <w:pPr>
        <w:pStyle w:val="BodyTextIndent"/>
        <w:ind w:hanging="0"/>
        <w:rPr>
          <w:bCs/>
          <w:sz w:val="28"/>
        </w:rPr>
      </w:pPr>
      <w:r>
        <w:rPr>
          <w:bCs/>
          <w:sz w:val="28"/>
        </w:rPr>
      </w:r>
    </w:p>
    <w:p>
      <w:pPr>
        <w:pStyle w:val="BodyTextIndent"/>
        <w:ind w:hanging="0"/>
        <w:rPr>
          <w:bCs/>
          <w:sz w:val="28"/>
        </w:rPr>
      </w:pPr>
      <w:r>
        <w:rPr>
          <w:bCs/>
          <w:iCs/>
          <w:sz w:val="28"/>
        </w:rPr>
        <w:t>Глава Артинского муниципального округа</w:t>
      </w:r>
      <w:r>
        <w:rPr>
          <w:bCs/>
          <w:sz w:val="28"/>
        </w:rPr>
        <w:t xml:space="preserve">                                  А.А. Константинов</w:t>
      </w:r>
    </w:p>
    <w:p>
      <w:pPr>
        <w:pStyle w:val="BodyTextIndent"/>
        <w:ind w:hanging="0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513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ar-SA" w:val="ru-RU" w:bidi="ar-SA"/>
    </w:rPr>
  </w:style>
  <w:style w:type="paragraph" w:styleId="Heading2">
    <w:name w:val="heading 2"/>
    <w:basedOn w:val="Normal"/>
    <w:next w:val="Normal"/>
    <w:qFormat/>
    <w:rsid w:val="003d513f"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3d513f"/>
    <w:rPr/>
  </w:style>
  <w:style w:type="character" w:styleId="WW-Absatz-Standardschriftart" w:customStyle="1">
    <w:name w:val="WW-Absatz-Standardschriftart"/>
    <w:qFormat/>
    <w:rsid w:val="003d513f"/>
    <w:rPr/>
  </w:style>
  <w:style w:type="character" w:styleId="WW-Absatz-Standardschriftart1" w:customStyle="1">
    <w:name w:val="WW-Absatz-Standardschriftart1"/>
    <w:qFormat/>
    <w:rsid w:val="003d513f"/>
    <w:rPr/>
  </w:style>
  <w:style w:type="character" w:styleId="WW-Absatz-Standardschriftart11" w:customStyle="1">
    <w:name w:val="WW-Absatz-Standardschriftart11"/>
    <w:qFormat/>
    <w:rsid w:val="003d513f"/>
    <w:rPr/>
  </w:style>
  <w:style w:type="character" w:styleId="WW-Absatz-Standardschriftart111" w:customStyle="1">
    <w:name w:val="WW-Absatz-Standardschriftart111"/>
    <w:qFormat/>
    <w:rsid w:val="003d513f"/>
    <w:rPr/>
  </w:style>
  <w:style w:type="character" w:styleId="WW8Num1z0" w:customStyle="1">
    <w:name w:val="WW8Num1z0"/>
    <w:qFormat/>
    <w:rsid w:val="003d513f"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sid w:val="003d513f"/>
    <w:rPr>
      <w:rFonts w:ascii="Courier New" w:hAnsi="Courier New" w:cs="Courier New"/>
    </w:rPr>
  </w:style>
  <w:style w:type="character" w:styleId="WW8Num1z2" w:customStyle="1">
    <w:name w:val="WW8Num1z2"/>
    <w:qFormat/>
    <w:rsid w:val="003d513f"/>
    <w:rPr>
      <w:rFonts w:ascii="Wingdings" w:hAnsi="Wingdings"/>
    </w:rPr>
  </w:style>
  <w:style w:type="character" w:styleId="WW8Num1z3" w:customStyle="1">
    <w:name w:val="WW8Num1z3"/>
    <w:qFormat/>
    <w:rsid w:val="003d513f"/>
    <w:rPr>
      <w:rFonts w:ascii="Symbol" w:hAnsi="Symbol"/>
    </w:rPr>
  </w:style>
  <w:style w:type="character" w:styleId="1" w:customStyle="1">
    <w:name w:val="Основной шрифт абзаца1"/>
    <w:qFormat/>
    <w:rsid w:val="003d513f"/>
    <w:rPr/>
  </w:style>
  <w:style w:type="character" w:styleId="Style13" w:customStyle="1">
    <w:name w:val="Текст выноски Знак"/>
    <w:link w:val="BalloonText"/>
    <w:uiPriority w:val="99"/>
    <w:semiHidden/>
    <w:qFormat/>
    <w:rsid w:val="00a543a5"/>
    <w:rPr>
      <w:rFonts w:ascii="Segoe UI" w:hAnsi="Segoe UI" w:cs="Segoe UI"/>
      <w:sz w:val="18"/>
      <w:szCs w:val="18"/>
      <w:lang w:eastAsia="ar-SA"/>
    </w:rPr>
  </w:style>
  <w:style w:type="character" w:styleId="Style14" w:customStyle="1">
    <w:name w:val="Основной текст с отступом Знак"/>
    <w:basedOn w:val="DefaultParagraphFont"/>
    <w:qFormat/>
    <w:rsid w:val="006b177f"/>
    <w:rPr>
      <w:sz w:val="24"/>
      <w:szCs w:val="28"/>
      <w:lang w:eastAsia="ar-SA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3d513f"/>
    <w:pPr>
      <w:spacing w:before="0" w:after="120"/>
    </w:pPr>
    <w:rPr/>
  </w:style>
  <w:style w:type="paragraph" w:styleId="List">
    <w:name w:val="List"/>
    <w:basedOn w:val="BodyText"/>
    <w:rsid w:val="003d513f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3d513f"/>
    <w:pPr>
      <w:keepNext w:val="true"/>
      <w:spacing w:before="240" w:after="120"/>
    </w:pPr>
    <w:rPr>
      <w:rFonts w:ascii="Arial" w:hAnsi="Arial" w:eastAsia="Microsoft YaHei" w:cs="Mang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1" w:customStyle="1">
    <w:name w:val="Название1"/>
    <w:basedOn w:val="Normal"/>
    <w:qFormat/>
    <w:rsid w:val="003d51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 w:customStyle="1">
    <w:name w:val="Указатель1"/>
    <w:basedOn w:val="Normal"/>
    <w:qFormat/>
    <w:rsid w:val="003d513f"/>
    <w:pPr>
      <w:suppressLineNumbers/>
    </w:pPr>
    <w:rPr>
      <w:rFonts w:cs="Mangal"/>
    </w:rPr>
  </w:style>
  <w:style w:type="paragraph" w:styleId="BodyTextIndent">
    <w:name w:val="Body Text Indent"/>
    <w:basedOn w:val="Normal"/>
    <w:link w:val="Style14"/>
    <w:rsid w:val="003d513f"/>
    <w:pPr>
      <w:ind w:firstLine="720"/>
      <w:jc w:val="both"/>
    </w:pPr>
    <w:rPr>
      <w:sz w:val="24"/>
    </w:rPr>
  </w:style>
  <w:style w:type="paragraph" w:styleId="ConsPlusNormal" w:customStyle="1">
    <w:name w:val="ConsPlusNormal"/>
    <w:qFormat/>
    <w:rsid w:val="003d513f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ar-SA" w:val="ru-RU" w:bidi="ar-SA"/>
    </w:rPr>
  </w:style>
  <w:style w:type="paragraph" w:styleId="13" w:customStyle="1">
    <w:name w:val="Знак1"/>
    <w:basedOn w:val="Normal"/>
    <w:qFormat/>
    <w:rsid w:val="003d513f"/>
    <w:pPr>
      <w:widowControl/>
      <w:overflowPunct w:val="true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user1" w:customStyle="1">
    <w:name w:val="Содержимое таблицы (user)"/>
    <w:basedOn w:val="Normal"/>
    <w:qFormat/>
    <w:rsid w:val="003d513f"/>
    <w:pPr>
      <w:suppressLineNumbers/>
    </w:pPr>
    <w:rPr/>
  </w:style>
  <w:style w:type="paragraph" w:styleId="user2" w:customStyle="1">
    <w:name w:val="Заголовок таблицы (user)"/>
    <w:basedOn w:val="user1"/>
    <w:qFormat/>
    <w:rsid w:val="003d513f"/>
    <w:pPr>
      <w:jc w:val="center"/>
    </w:pPr>
    <w:rPr>
      <w:b/>
      <w:bCs/>
    </w:rPr>
  </w:style>
  <w:style w:type="paragraph" w:styleId="user3" w:customStyle="1">
    <w:name w:val="Содержимое врезки (user)"/>
    <w:basedOn w:val="BodyText"/>
    <w:qFormat/>
    <w:rsid w:val="003d513f"/>
    <w:pPr/>
    <w:rPr/>
  </w:style>
  <w:style w:type="paragraph" w:styleId="ConsPlusCell" w:customStyle="1">
    <w:name w:val="ConsPlusCell"/>
    <w:uiPriority w:val="99"/>
    <w:qFormat/>
    <w:rsid w:val="009c4b8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a543a5"/>
    <w:pPr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398"/>
    <w:pPr>
      <w:spacing w:before="0" w:after="0"/>
      <w:ind w:left="720"/>
      <w:contextualSpacing/>
    </w:pPr>
    <w:rPr/>
  </w:style>
  <w:style w:type="paragraph" w:styleId="Style17">
    <w:name w:val="Содержимое врезки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8a5b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702F2-F645-434A-A8D9-8BF039D0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LibreOffice/25.2.7.2$Windows_X86_64 LibreOffice_project/5cbfd1ab6520636bb5f7b99185aa69bd7456825d</Application>
  <AppVersion>15.0000</AppVersion>
  <Pages>4</Pages>
  <Words>645</Words>
  <Characters>3904</Characters>
  <CharactersWithSpaces>4668</CharactersWithSpaces>
  <Paragraphs>79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2026-02-08T08:40:00Z</dcterms:created>
  <dc:creator>Админ</dc:creator>
  <dc:description/>
  <dc:language>ru-RU</dc:language>
  <cp:lastModifiedBy/>
  <cp:lastPrinted>2026-02-26T11:25:00Z</cp:lastPrinted>
  <dcterms:modified xsi:type="dcterms:W3CDTF">2026-03-04T11:23:10Z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